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4A" w:rsidRPr="00F7714A" w:rsidRDefault="00F7714A" w:rsidP="00F7714A">
      <w:pPr>
        <w:pStyle w:val="bilag"/>
        <w:spacing w:before="120"/>
        <w:jc w:val="left"/>
        <w:rPr>
          <w:rFonts w:ascii="Open Sans" w:hAnsi="Open Sans" w:cs="Open Sans"/>
          <w:sz w:val="60"/>
          <w:szCs w:val="60"/>
        </w:rPr>
      </w:pPr>
      <w:bookmarkStart w:id="0" w:name="_GoBack"/>
      <w:bookmarkEnd w:id="0"/>
      <w:r w:rsidRPr="00F7714A">
        <w:rPr>
          <w:rFonts w:ascii="Open Sans" w:hAnsi="Open Sans" w:cs="Open Sans"/>
          <w:sz w:val="60"/>
          <w:szCs w:val="60"/>
        </w:rPr>
        <w:t xml:space="preserve">Bekendtgørelsens </w:t>
      </w:r>
      <w:r w:rsidR="003416E7" w:rsidRPr="00F7714A">
        <w:rPr>
          <w:rFonts w:ascii="Open Sans" w:hAnsi="Open Sans" w:cs="Open Sans"/>
          <w:sz w:val="60"/>
          <w:szCs w:val="60"/>
        </w:rPr>
        <w:t xml:space="preserve">Bilag 6 </w:t>
      </w:r>
    </w:p>
    <w:p w:rsidR="003416E7" w:rsidRPr="00F7714A" w:rsidRDefault="003416E7" w:rsidP="00F7714A">
      <w:pPr>
        <w:pStyle w:val="bilag"/>
        <w:spacing w:before="120"/>
        <w:jc w:val="left"/>
        <w:rPr>
          <w:rFonts w:ascii="Open Sans" w:hAnsi="Open Sans" w:cs="Open Sans"/>
          <w:sz w:val="60"/>
          <w:szCs w:val="60"/>
        </w:rPr>
      </w:pPr>
      <w:r w:rsidRPr="00F7714A">
        <w:rPr>
          <w:rFonts w:ascii="Open Sans" w:hAnsi="Open Sans" w:cs="Open Sans"/>
          <w:sz w:val="60"/>
          <w:szCs w:val="60"/>
        </w:rPr>
        <w:t>Kontrolprogrammet, Del C Risikovurdering</w:t>
      </w:r>
    </w:p>
    <w:p w:rsidR="003416E7" w:rsidRPr="003416E7" w:rsidRDefault="003416E7" w:rsidP="003416E7">
      <w:pPr>
        <w:pStyle w:val="NormalWeb"/>
        <w:rPr>
          <w:rFonts w:ascii="Open Sans" w:hAnsi="Open Sans" w:cs="Open Sans"/>
        </w:rPr>
      </w:pPr>
      <w:r w:rsidRPr="003416E7">
        <w:rPr>
          <w:rFonts w:ascii="Open Sans" w:hAnsi="Open Sans" w:cs="Open Sans"/>
        </w:rPr>
        <w:t>Parametrene og prøveudtagningshyppighederne fastlagt i bilag 5 kan fraviges forudsat, at der gennemføres en risikovurdering i overensstemmelse med nærværende bilag, jf. § 7, stk. 7.</w:t>
      </w:r>
    </w:p>
    <w:p w:rsidR="003416E7" w:rsidRPr="003416E7" w:rsidRDefault="003416E7" w:rsidP="003416E7">
      <w:pPr>
        <w:pStyle w:val="NormalWeb"/>
        <w:rPr>
          <w:rFonts w:ascii="Open Sans" w:hAnsi="Open Sans" w:cs="Open Sans"/>
        </w:rPr>
      </w:pPr>
      <w:r w:rsidRPr="003416E7">
        <w:rPr>
          <w:rFonts w:ascii="Open Sans" w:hAnsi="Open Sans" w:cs="Open Sans"/>
        </w:rPr>
        <w:t>En risikovurdering skal bygge på de generelle principper for risikovurdering, der er beskrevet i internationale standarder, f.eks. EN 15975-2: »Sikkerhed i drikkevandsforsyning — Vejledninger i risiko og krisestyring«.</w:t>
      </w:r>
    </w:p>
    <w:p w:rsidR="003416E7" w:rsidRPr="003416E7" w:rsidRDefault="003416E7" w:rsidP="003416E7">
      <w:pPr>
        <w:pStyle w:val="NormalWeb"/>
        <w:rPr>
          <w:rFonts w:ascii="Open Sans" w:hAnsi="Open Sans" w:cs="Open Sans"/>
        </w:rPr>
      </w:pPr>
      <w:r w:rsidRPr="003416E7">
        <w:rPr>
          <w:rFonts w:ascii="Open Sans" w:hAnsi="Open Sans" w:cs="Open Sans"/>
        </w:rPr>
        <w:t>Risikovurderingen skal tage hensyn til resultaterne fra drikkevandskontrollen, jf. § 7, stk. 1, boringskontrollen, jf. § 7, stk. 5, og bilag 8 og den overvågning af forekomster af vand, der anvendes til indvinding af mere end 100 m</w:t>
      </w:r>
      <w:r w:rsidRPr="003416E7">
        <w:rPr>
          <w:rStyle w:val="superscript1"/>
          <w:rFonts w:ascii="Open Sans" w:hAnsi="Open Sans" w:cs="Open Sans"/>
          <w:sz w:val="24"/>
          <w:szCs w:val="24"/>
        </w:rPr>
        <w:t>3</w:t>
      </w:r>
      <w:r w:rsidRPr="003416E7">
        <w:rPr>
          <w:rFonts w:ascii="Open Sans" w:hAnsi="Open Sans" w:cs="Open Sans"/>
        </w:rPr>
        <w:t xml:space="preserve"> vand pr. dag i gennemsnit, jf. § 7, stk. 5, og bilag 10 og bekendtgørelse om overvågning af overfladevand, grundvand, beskyttede områder og om naturovervågning i internationale naturbeskyttelsesområder mv.</w:t>
      </w:r>
    </w:p>
    <w:p w:rsidR="003416E7" w:rsidRPr="003416E7" w:rsidRDefault="003416E7" w:rsidP="003416E7">
      <w:pPr>
        <w:pStyle w:val="bilagtekstliste"/>
        <w:rPr>
          <w:rFonts w:ascii="Open Sans" w:hAnsi="Open Sans" w:cs="Open Sans"/>
        </w:rPr>
      </w:pPr>
      <w:r w:rsidRPr="003416E7">
        <w:rPr>
          <w:rFonts w:ascii="Open Sans" w:hAnsi="Open Sans" w:cs="Open Sans"/>
        </w:rPr>
        <w:t>På grundlag af risikovurderingens resultater udvides listen over parametre i bilag 5, punkt 2, og øges prøveudtagningshyppigheden i bilag 5, punkt 3, hvis en af nedenstående betingelser er opfyldt</w:t>
      </w:r>
    </w:p>
    <w:p w:rsidR="003416E7" w:rsidRPr="003416E7" w:rsidRDefault="003416E7" w:rsidP="003416E7">
      <w:pPr>
        <w:pStyle w:val="liste1"/>
        <w:rPr>
          <w:rFonts w:ascii="Open Sans" w:hAnsi="Open Sans" w:cs="Open Sans"/>
        </w:rPr>
      </w:pPr>
      <w:r w:rsidRPr="003416E7">
        <w:rPr>
          <w:rStyle w:val="liste1nr1"/>
          <w:rFonts w:ascii="Open Sans" w:hAnsi="Open Sans" w:cs="Open Sans"/>
        </w:rPr>
        <w:t>a)</w:t>
      </w:r>
      <w:r w:rsidRPr="003416E7">
        <w:rPr>
          <w:rFonts w:ascii="Open Sans" w:hAnsi="Open Sans" w:cs="Open Sans"/>
        </w:rPr>
        <w:t xml:space="preserve"> listen over parametre eller hyppigheder, der er fastsat i bilag 5, er ikke tilstrækkelig til at opfylde forpligtelserne i medfør af § 7,</w:t>
      </w:r>
    </w:p>
    <w:p w:rsidR="003416E7" w:rsidRPr="003416E7" w:rsidRDefault="003416E7" w:rsidP="003416E7">
      <w:pPr>
        <w:pStyle w:val="liste1"/>
        <w:rPr>
          <w:rFonts w:ascii="Open Sans" w:hAnsi="Open Sans" w:cs="Open Sans"/>
        </w:rPr>
      </w:pPr>
      <w:r w:rsidRPr="003416E7">
        <w:rPr>
          <w:rStyle w:val="liste1nr1"/>
          <w:rFonts w:ascii="Open Sans" w:hAnsi="Open Sans" w:cs="Open Sans"/>
        </w:rPr>
        <w:t>b)</w:t>
      </w:r>
      <w:r w:rsidRPr="003416E7">
        <w:rPr>
          <w:rFonts w:ascii="Open Sans" w:hAnsi="Open Sans" w:cs="Open Sans"/>
        </w:rPr>
        <w:t xml:space="preserve"> der er brug for yderligere kontrol for stoffer og mikroorganismer, jf. situationer omfattet af § 9,</w:t>
      </w:r>
    </w:p>
    <w:p w:rsidR="003416E7" w:rsidRPr="003416E7" w:rsidRDefault="003416E7" w:rsidP="003416E7">
      <w:pPr>
        <w:pStyle w:val="liste1"/>
        <w:rPr>
          <w:rFonts w:ascii="Open Sans" w:hAnsi="Open Sans" w:cs="Open Sans"/>
        </w:rPr>
      </w:pPr>
      <w:r w:rsidRPr="003416E7">
        <w:rPr>
          <w:rStyle w:val="liste1nr1"/>
          <w:rFonts w:ascii="Open Sans" w:hAnsi="Open Sans" w:cs="Open Sans"/>
        </w:rPr>
        <w:t>c)</w:t>
      </w:r>
      <w:r w:rsidRPr="003416E7">
        <w:rPr>
          <w:rFonts w:ascii="Open Sans" w:hAnsi="Open Sans" w:cs="Open Sans"/>
        </w:rPr>
        <w:t xml:space="preserve"> det er nødvendigt for at tilvejebringe den nødvendige sikkerhed, jf. bilag 4, punkt 1 a og b.</w:t>
      </w:r>
    </w:p>
    <w:p w:rsidR="003416E7" w:rsidRDefault="003416E7" w:rsidP="003416E7">
      <w:pPr>
        <w:pStyle w:val="NormalWeb"/>
        <w:rPr>
          <w:rFonts w:ascii="Open Sans" w:hAnsi="Open Sans" w:cs="Open Sans"/>
          <w:sz w:val="56"/>
          <w:szCs w:val="56"/>
        </w:rPr>
      </w:pPr>
    </w:p>
    <w:p w:rsidR="003416E7" w:rsidRPr="003416E7" w:rsidRDefault="003416E7" w:rsidP="003416E7">
      <w:pPr>
        <w:pStyle w:val="NormalWeb"/>
        <w:rPr>
          <w:rFonts w:ascii="Open Sans" w:hAnsi="Open Sans" w:cs="Open Sans"/>
          <w:sz w:val="56"/>
          <w:szCs w:val="56"/>
        </w:rPr>
      </w:pPr>
      <w:r w:rsidRPr="003416E7">
        <w:rPr>
          <w:rFonts w:ascii="Open Sans" w:hAnsi="Open Sans" w:cs="Open Sans"/>
          <w:sz w:val="56"/>
          <w:szCs w:val="56"/>
        </w:rPr>
        <w:t xml:space="preserve">På grundlag af risikovurderingens resultater kan listen over parametre i bilag 5, punkt 2, og prøveudtagningshyppigheden i bilag 5, punkt 3, </w:t>
      </w:r>
      <w:r w:rsidRPr="003416E7">
        <w:rPr>
          <w:rFonts w:ascii="Open Sans" w:hAnsi="Open Sans" w:cs="Open Sans"/>
          <w:sz w:val="56"/>
          <w:szCs w:val="56"/>
          <w:highlight w:val="yellow"/>
        </w:rPr>
        <w:t>reduceres, hvis følgende betingelser er opfyldt</w:t>
      </w:r>
    </w:p>
    <w:p w:rsidR="003416E7" w:rsidRPr="003416E7" w:rsidRDefault="003416E7" w:rsidP="003416E7">
      <w:pPr>
        <w:pStyle w:val="liste1"/>
        <w:rPr>
          <w:rFonts w:ascii="Open Sans" w:hAnsi="Open Sans" w:cs="Open Sans"/>
          <w:sz w:val="40"/>
          <w:szCs w:val="40"/>
        </w:rPr>
      </w:pPr>
      <w:r w:rsidRPr="003416E7">
        <w:rPr>
          <w:rStyle w:val="liste1nr1"/>
          <w:rFonts w:ascii="Open Sans" w:hAnsi="Open Sans" w:cs="Open Sans"/>
          <w:sz w:val="40"/>
          <w:szCs w:val="40"/>
        </w:rPr>
        <w:t>a)</w:t>
      </w:r>
      <w:r w:rsidRPr="003416E7">
        <w:rPr>
          <w:rFonts w:ascii="Open Sans" w:hAnsi="Open Sans" w:cs="Open Sans"/>
          <w:sz w:val="40"/>
          <w:szCs w:val="40"/>
        </w:rPr>
        <w:t xml:space="preserve"> Prøveudtagningshyppigheden for </w:t>
      </w:r>
      <w:r w:rsidRPr="003416E7">
        <w:rPr>
          <w:rStyle w:val="italic1"/>
          <w:rFonts w:ascii="Open Sans" w:hAnsi="Open Sans" w:cs="Open Sans"/>
          <w:sz w:val="40"/>
          <w:szCs w:val="40"/>
        </w:rPr>
        <w:t>E.</w:t>
      </w:r>
      <w:r w:rsidRPr="003416E7">
        <w:rPr>
          <w:rFonts w:ascii="Open Sans" w:hAnsi="Open Sans" w:cs="Open Sans"/>
          <w:sz w:val="40"/>
          <w:szCs w:val="40"/>
        </w:rPr>
        <w:t xml:space="preserve"> </w:t>
      </w:r>
      <w:proofErr w:type="spellStart"/>
      <w:r w:rsidRPr="003416E7">
        <w:rPr>
          <w:rStyle w:val="italic1"/>
          <w:rFonts w:ascii="Open Sans" w:hAnsi="Open Sans" w:cs="Open Sans"/>
          <w:sz w:val="40"/>
          <w:szCs w:val="40"/>
        </w:rPr>
        <w:t>coli</w:t>
      </w:r>
      <w:proofErr w:type="spellEnd"/>
      <w:r w:rsidRPr="003416E7">
        <w:rPr>
          <w:rStyle w:val="italic1"/>
          <w:rFonts w:ascii="Open Sans" w:hAnsi="Open Sans" w:cs="Open Sans"/>
          <w:sz w:val="40"/>
          <w:szCs w:val="40"/>
        </w:rPr>
        <w:t xml:space="preserve"> </w:t>
      </w:r>
      <w:r w:rsidRPr="003416E7">
        <w:rPr>
          <w:rFonts w:ascii="Open Sans" w:hAnsi="Open Sans" w:cs="Open Sans"/>
          <w:sz w:val="40"/>
          <w:szCs w:val="40"/>
        </w:rPr>
        <w:t>må under ingen omstændigheder reduceres til under den hyppighed, der er fastlagt i bilag 5, punkt 3.</w:t>
      </w:r>
    </w:p>
    <w:p w:rsidR="003416E7" w:rsidRPr="003416E7" w:rsidRDefault="003416E7" w:rsidP="003416E7">
      <w:pPr>
        <w:pStyle w:val="liste1"/>
        <w:rPr>
          <w:rFonts w:ascii="Open Sans" w:hAnsi="Open Sans" w:cs="Open Sans"/>
          <w:sz w:val="40"/>
          <w:szCs w:val="40"/>
        </w:rPr>
      </w:pPr>
      <w:r w:rsidRPr="003416E7">
        <w:rPr>
          <w:rStyle w:val="liste1nr1"/>
          <w:rFonts w:ascii="Open Sans" w:hAnsi="Open Sans" w:cs="Open Sans"/>
          <w:sz w:val="40"/>
          <w:szCs w:val="40"/>
        </w:rPr>
        <w:t>b)</w:t>
      </w:r>
      <w:r w:rsidRPr="003416E7">
        <w:rPr>
          <w:rFonts w:ascii="Open Sans" w:hAnsi="Open Sans" w:cs="Open Sans"/>
          <w:sz w:val="40"/>
          <w:szCs w:val="40"/>
        </w:rPr>
        <w:t xml:space="preserve"> For alle andre parametre:</w:t>
      </w:r>
    </w:p>
    <w:p w:rsidR="003416E7" w:rsidRDefault="003416E7" w:rsidP="003416E7">
      <w:pPr>
        <w:pStyle w:val="liste1"/>
        <w:rPr>
          <w:rFonts w:ascii="Open Sans" w:hAnsi="Open Sans" w:cs="Open Sans"/>
          <w:sz w:val="40"/>
          <w:szCs w:val="40"/>
        </w:rPr>
      </w:pPr>
      <w:r w:rsidRPr="003416E7">
        <w:rPr>
          <w:rStyle w:val="liste1nr1"/>
          <w:rFonts w:ascii="Open Sans" w:hAnsi="Open Sans" w:cs="Open Sans"/>
          <w:sz w:val="40"/>
          <w:szCs w:val="40"/>
        </w:rPr>
        <w:t>i.</w:t>
      </w:r>
      <w:r w:rsidRPr="003416E7">
        <w:rPr>
          <w:rFonts w:ascii="Open Sans" w:hAnsi="Open Sans" w:cs="Open Sans"/>
          <w:sz w:val="40"/>
          <w:szCs w:val="40"/>
        </w:rPr>
        <w:t xml:space="preserve"> prøveudtagningsstedet og -hyppigheden fastlægges i forhold til parameterens oprindelse samt variabiliteten og langtidstendensen af dens koncentration, under hensyntagen til bilag 7</w:t>
      </w:r>
    </w:p>
    <w:p w:rsidR="003416E7" w:rsidRPr="003416E7" w:rsidRDefault="003416E7" w:rsidP="003416E7">
      <w:pPr>
        <w:pStyle w:val="liste1"/>
        <w:rPr>
          <w:rFonts w:ascii="Open Sans" w:hAnsi="Open Sans" w:cs="Open Sans"/>
          <w:sz w:val="40"/>
          <w:szCs w:val="40"/>
        </w:rPr>
      </w:pPr>
    </w:p>
    <w:p w:rsidR="003416E7" w:rsidRDefault="003416E7">
      <w:pPr>
        <w:rPr>
          <w:rStyle w:val="liste1nr1"/>
          <w:rFonts w:ascii="Open Sans" w:eastAsia="Times New Roman" w:hAnsi="Open Sans" w:cs="Open Sans"/>
          <w:b/>
          <w:sz w:val="56"/>
          <w:szCs w:val="56"/>
          <w:lang w:eastAsia="da-DK"/>
        </w:rPr>
      </w:pPr>
      <w:r>
        <w:rPr>
          <w:rStyle w:val="liste1nr1"/>
          <w:rFonts w:ascii="Open Sans" w:hAnsi="Open Sans" w:cs="Open Sans"/>
          <w:b/>
          <w:sz w:val="56"/>
          <w:szCs w:val="56"/>
        </w:rPr>
        <w:br w:type="page"/>
      </w:r>
    </w:p>
    <w:p w:rsidR="003416E7" w:rsidRPr="003416E7" w:rsidRDefault="003416E7" w:rsidP="003416E7">
      <w:pPr>
        <w:pStyle w:val="liste1"/>
        <w:rPr>
          <w:rFonts w:ascii="Open Sans" w:hAnsi="Open Sans" w:cs="Open Sans"/>
          <w:sz w:val="56"/>
          <w:szCs w:val="56"/>
        </w:rPr>
      </w:pPr>
      <w:r w:rsidRPr="003416E7">
        <w:rPr>
          <w:rStyle w:val="liste1nr1"/>
          <w:rFonts w:ascii="Open Sans" w:hAnsi="Open Sans" w:cs="Open Sans"/>
          <w:sz w:val="56"/>
          <w:szCs w:val="56"/>
        </w:rPr>
        <w:lastRenderedPageBreak/>
        <w:t>ii.</w:t>
      </w:r>
      <w:r w:rsidRPr="003416E7">
        <w:rPr>
          <w:rFonts w:ascii="Open Sans" w:hAnsi="Open Sans" w:cs="Open Sans"/>
          <w:sz w:val="56"/>
          <w:szCs w:val="56"/>
        </w:rPr>
        <w:t xml:space="preserve"> for </w:t>
      </w:r>
      <w:r w:rsidRPr="003416E7">
        <w:rPr>
          <w:rFonts w:ascii="Open Sans" w:hAnsi="Open Sans" w:cs="Open Sans"/>
          <w:sz w:val="56"/>
          <w:szCs w:val="56"/>
          <w:highlight w:val="yellow"/>
        </w:rPr>
        <w:t>at reducere</w:t>
      </w:r>
      <w:r w:rsidRPr="003416E7">
        <w:rPr>
          <w:rFonts w:ascii="Open Sans" w:hAnsi="Open Sans" w:cs="Open Sans"/>
          <w:sz w:val="56"/>
          <w:szCs w:val="56"/>
        </w:rPr>
        <w:t xml:space="preserve"> den mindste prøveudtagningshyppighed for en parameter, jf. bilag 5, punkt 3, skal de resultater, der fås fra prøver, </w:t>
      </w:r>
      <w:r w:rsidRPr="003416E7">
        <w:rPr>
          <w:rFonts w:ascii="Open Sans" w:hAnsi="Open Sans" w:cs="Open Sans"/>
          <w:sz w:val="56"/>
          <w:szCs w:val="56"/>
          <w:highlight w:val="yellow"/>
        </w:rPr>
        <w:t>som indsamles med jævne mellemrum over en periode på mindst tre år</w:t>
      </w:r>
      <w:r w:rsidRPr="003416E7">
        <w:rPr>
          <w:rFonts w:ascii="Open Sans" w:hAnsi="Open Sans" w:cs="Open Sans"/>
          <w:sz w:val="56"/>
          <w:szCs w:val="56"/>
        </w:rPr>
        <w:t xml:space="preserve"> fra prøveudtagningspunkter, som er repræsentative for hele forsyningsområdet, alle være </w:t>
      </w:r>
      <w:r w:rsidRPr="003416E7">
        <w:rPr>
          <w:rFonts w:ascii="Open Sans" w:hAnsi="Open Sans" w:cs="Open Sans"/>
          <w:sz w:val="56"/>
          <w:szCs w:val="56"/>
          <w:highlight w:val="yellow"/>
        </w:rPr>
        <w:t>lavere end 60 % af kvalitetskravet</w:t>
      </w:r>
    </w:p>
    <w:p w:rsidR="003416E7" w:rsidRPr="003416E7" w:rsidRDefault="003416E7" w:rsidP="003416E7">
      <w:pPr>
        <w:pStyle w:val="liste1"/>
        <w:rPr>
          <w:rFonts w:ascii="Open Sans" w:hAnsi="Open Sans" w:cs="Open Sans"/>
          <w:sz w:val="40"/>
          <w:szCs w:val="40"/>
        </w:rPr>
      </w:pPr>
    </w:p>
    <w:p w:rsidR="003416E7" w:rsidRDefault="003416E7" w:rsidP="003416E7">
      <w:pPr>
        <w:pStyle w:val="liste1"/>
        <w:rPr>
          <w:rFonts w:ascii="Open Sans" w:hAnsi="Open Sans" w:cs="Open Sans"/>
          <w:sz w:val="56"/>
          <w:szCs w:val="56"/>
        </w:rPr>
      </w:pPr>
      <w:r w:rsidRPr="003416E7">
        <w:rPr>
          <w:rStyle w:val="liste1nr1"/>
          <w:rFonts w:ascii="Open Sans" w:hAnsi="Open Sans" w:cs="Open Sans"/>
          <w:sz w:val="56"/>
          <w:szCs w:val="56"/>
        </w:rPr>
        <w:t>iii.</w:t>
      </w:r>
      <w:r w:rsidRPr="003416E7">
        <w:rPr>
          <w:rFonts w:ascii="Open Sans" w:hAnsi="Open Sans" w:cs="Open Sans"/>
          <w:sz w:val="56"/>
          <w:szCs w:val="56"/>
        </w:rPr>
        <w:t xml:space="preserve"> for </w:t>
      </w:r>
      <w:r w:rsidRPr="003416E7">
        <w:rPr>
          <w:rFonts w:ascii="Open Sans" w:hAnsi="Open Sans" w:cs="Open Sans"/>
          <w:sz w:val="56"/>
          <w:szCs w:val="56"/>
          <w:highlight w:val="yellow"/>
        </w:rPr>
        <w:t>at fjerne</w:t>
      </w:r>
      <w:r w:rsidRPr="003416E7">
        <w:rPr>
          <w:rFonts w:ascii="Open Sans" w:hAnsi="Open Sans" w:cs="Open Sans"/>
          <w:sz w:val="56"/>
          <w:szCs w:val="56"/>
        </w:rPr>
        <w:t xml:space="preserve"> en parameter fra den liste over parametre, der skal kontrolleres, jf. bilag 5, punkt 2, skal de resultater, der fås fra prøver, </w:t>
      </w:r>
      <w:r w:rsidRPr="003416E7">
        <w:rPr>
          <w:rFonts w:ascii="Open Sans" w:hAnsi="Open Sans" w:cs="Open Sans"/>
          <w:sz w:val="56"/>
          <w:szCs w:val="56"/>
          <w:highlight w:val="yellow"/>
        </w:rPr>
        <w:t>som indsamles med jævne mellemrum over en periode på mindst tre år</w:t>
      </w:r>
      <w:r w:rsidRPr="003416E7">
        <w:rPr>
          <w:rFonts w:ascii="Open Sans" w:hAnsi="Open Sans" w:cs="Open Sans"/>
          <w:sz w:val="56"/>
          <w:szCs w:val="56"/>
        </w:rPr>
        <w:t xml:space="preserve"> fra prøveudtagningspunkter, som er repræsentative for hele forsyningsområdet, alle være </w:t>
      </w:r>
      <w:r w:rsidRPr="003416E7">
        <w:rPr>
          <w:rFonts w:ascii="Open Sans" w:hAnsi="Open Sans" w:cs="Open Sans"/>
          <w:sz w:val="56"/>
          <w:szCs w:val="56"/>
          <w:highlight w:val="yellow"/>
        </w:rPr>
        <w:t>lavere end 30 % af parameterværdien</w:t>
      </w:r>
    </w:p>
    <w:p w:rsidR="003416E7" w:rsidRPr="003416E7" w:rsidRDefault="003416E7" w:rsidP="003416E7">
      <w:pPr>
        <w:pStyle w:val="liste1"/>
        <w:rPr>
          <w:rFonts w:ascii="Open Sans" w:hAnsi="Open Sans" w:cs="Open Sans"/>
          <w:sz w:val="56"/>
          <w:szCs w:val="56"/>
        </w:rPr>
      </w:pPr>
    </w:p>
    <w:p w:rsidR="003416E7" w:rsidRPr="003416E7" w:rsidRDefault="003416E7" w:rsidP="003416E7">
      <w:pPr>
        <w:pStyle w:val="liste1"/>
        <w:rPr>
          <w:rFonts w:ascii="Open Sans" w:hAnsi="Open Sans" w:cs="Open Sans"/>
          <w:sz w:val="40"/>
          <w:szCs w:val="40"/>
        </w:rPr>
      </w:pPr>
      <w:r w:rsidRPr="003416E7">
        <w:rPr>
          <w:rStyle w:val="liste1nr1"/>
          <w:rFonts w:ascii="Open Sans" w:hAnsi="Open Sans" w:cs="Open Sans"/>
          <w:sz w:val="40"/>
          <w:szCs w:val="40"/>
        </w:rPr>
        <w:t>iv.</w:t>
      </w:r>
      <w:r w:rsidRPr="003416E7">
        <w:rPr>
          <w:rFonts w:ascii="Open Sans" w:hAnsi="Open Sans" w:cs="Open Sans"/>
          <w:sz w:val="40"/>
          <w:szCs w:val="40"/>
        </w:rPr>
        <w:t xml:space="preserve"> fjernelse af en bestemt parameter fra den liste over parametre, der skal kontrolleres, jf. bilag 5, punkt 2, skal baseres på resultaterne af risikovurderingen, med udgangspunkt i resultaterne fra kontrol af kilder til drikkevand, herunder boringskontrollen, jf. bilag 8, som bekræfter, at menneskers sundhed er beskyttet mod de skadelige virkninger af enhver forurening af drikkevand</w:t>
      </w:r>
    </w:p>
    <w:p w:rsidR="003416E7" w:rsidRPr="003416E7" w:rsidRDefault="003416E7" w:rsidP="003416E7">
      <w:pPr>
        <w:pStyle w:val="liste1"/>
        <w:rPr>
          <w:rFonts w:ascii="Open Sans" w:hAnsi="Open Sans" w:cs="Open Sans"/>
          <w:sz w:val="40"/>
          <w:szCs w:val="40"/>
        </w:rPr>
      </w:pPr>
    </w:p>
    <w:p w:rsidR="003416E7" w:rsidRPr="003416E7" w:rsidRDefault="003416E7" w:rsidP="003416E7">
      <w:pPr>
        <w:pStyle w:val="liste1"/>
        <w:rPr>
          <w:rFonts w:ascii="Open Sans" w:hAnsi="Open Sans" w:cs="Open Sans"/>
          <w:sz w:val="40"/>
          <w:szCs w:val="40"/>
        </w:rPr>
      </w:pPr>
      <w:r w:rsidRPr="003416E7">
        <w:rPr>
          <w:rStyle w:val="liste1nr1"/>
          <w:rFonts w:ascii="Open Sans" w:hAnsi="Open Sans" w:cs="Open Sans"/>
          <w:sz w:val="40"/>
          <w:szCs w:val="40"/>
        </w:rPr>
        <w:t>v.</w:t>
      </w:r>
      <w:r w:rsidRPr="003416E7">
        <w:rPr>
          <w:rFonts w:ascii="Open Sans" w:hAnsi="Open Sans" w:cs="Open Sans"/>
          <w:sz w:val="40"/>
          <w:szCs w:val="40"/>
        </w:rPr>
        <w:t xml:space="preserve"> det er kun muligt at reducere prøveudtagningshyppigheden eller at fjerne en parameter fra listen over parametre, der skal kontrolleres, jf. nr. ii) og iii), hvis risikovurderingen bekræfter, at der ikke er nogen faktorer, som med rimelighed kan forudses at forringe kvaliteten af drikkevandet.</w:t>
      </w:r>
    </w:p>
    <w:p w:rsidR="00FB0D96" w:rsidRPr="003416E7" w:rsidRDefault="00FB0D96" w:rsidP="003416E7">
      <w:pPr>
        <w:rPr>
          <w:rFonts w:cs="Open Sans"/>
          <w:sz w:val="24"/>
          <w:szCs w:val="24"/>
        </w:rPr>
      </w:pPr>
    </w:p>
    <w:sectPr w:rsidR="00FB0D96" w:rsidRPr="003416E7" w:rsidSect="003416E7">
      <w:footerReference w:type="default" r:id="rId8"/>
      <w:pgSz w:w="23811" w:h="16838"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E7" w:rsidRDefault="003416E7" w:rsidP="0073414C">
      <w:r>
        <w:separator/>
      </w:r>
    </w:p>
  </w:endnote>
  <w:endnote w:type="continuationSeparator" w:id="0">
    <w:p w:rsidR="003416E7" w:rsidRDefault="003416E7" w:rsidP="007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4A" w:rsidRPr="00F7714A" w:rsidRDefault="00F7714A" w:rsidP="00F7714A">
    <w:pPr>
      <w:pStyle w:val="Sidefod"/>
      <w:jc w:val="right"/>
      <w:rPr>
        <w:sz w:val="24"/>
        <w:szCs w:val="24"/>
      </w:rPr>
    </w:pPr>
    <w:r w:rsidRPr="00F7714A">
      <w:rPr>
        <w:sz w:val="24"/>
        <w:szCs w:val="24"/>
      </w:rPr>
      <w:t xml:space="preserve">Side </w:t>
    </w:r>
    <w:r w:rsidRPr="00F7714A">
      <w:rPr>
        <w:bCs/>
        <w:sz w:val="24"/>
        <w:szCs w:val="24"/>
      </w:rPr>
      <w:fldChar w:fldCharType="begin"/>
    </w:r>
    <w:r w:rsidRPr="00F7714A">
      <w:rPr>
        <w:bCs/>
        <w:sz w:val="24"/>
        <w:szCs w:val="24"/>
      </w:rPr>
      <w:instrText>PAGE  \* Arabic  \* MERGEFORMAT</w:instrText>
    </w:r>
    <w:r w:rsidRPr="00F7714A">
      <w:rPr>
        <w:bCs/>
        <w:sz w:val="24"/>
        <w:szCs w:val="24"/>
      </w:rPr>
      <w:fldChar w:fldCharType="separate"/>
    </w:r>
    <w:r>
      <w:rPr>
        <w:bCs/>
        <w:noProof/>
        <w:sz w:val="24"/>
        <w:szCs w:val="24"/>
      </w:rPr>
      <w:t>2</w:t>
    </w:r>
    <w:r w:rsidRPr="00F7714A">
      <w:rPr>
        <w:bCs/>
        <w:sz w:val="24"/>
        <w:szCs w:val="24"/>
      </w:rPr>
      <w:fldChar w:fldCharType="end"/>
    </w:r>
    <w:r w:rsidRPr="00F7714A">
      <w:rPr>
        <w:sz w:val="24"/>
        <w:szCs w:val="24"/>
      </w:rPr>
      <w:t xml:space="preserve"> af </w:t>
    </w:r>
    <w:r w:rsidRPr="00F7714A">
      <w:rPr>
        <w:bCs/>
        <w:sz w:val="24"/>
        <w:szCs w:val="24"/>
      </w:rPr>
      <w:fldChar w:fldCharType="begin"/>
    </w:r>
    <w:r w:rsidRPr="00F7714A">
      <w:rPr>
        <w:bCs/>
        <w:sz w:val="24"/>
        <w:szCs w:val="24"/>
      </w:rPr>
      <w:instrText>NUMPAGES  \* Arabic  \* MERGEFORMAT</w:instrText>
    </w:r>
    <w:r w:rsidRPr="00F7714A">
      <w:rPr>
        <w:bCs/>
        <w:sz w:val="24"/>
        <w:szCs w:val="24"/>
      </w:rPr>
      <w:fldChar w:fldCharType="separate"/>
    </w:r>
    <w:r>
      <w:rPr>
        <w:bCs/>
        <w:noProof/>
        <w:sz w:val="24"/>
        <w:szCs w:val="24"/>
      </w:rPr>
      <w:t>2</w:t>
    </w:r>
    <w:r w:rsidRPr="00F7714A">
      <w:rPr>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E7" w:rsidRDefault="003416E7" w:rsidP="0073414C">
      <w:r>
        <w:separator/>
      </w:r>
    </w:p>
  </w:footnote>
  <w:footnote w:type="continuationSeparator" w:id="0">
    <w:p w:rsidR="003416E7" w:rsidRDefault="003416E7" w:rsidP="00734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272"/>
    <w:multiLevelType w:val="hybridMultilevel"/>
    <w:tmpl w:val="E71EF08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E7"/>
    <w:rsid w:val="00114916"/>
    <w:rsid w:val="00165D33"/>
    <w:rsid w:val="001D296B"/>
    <w:rsid w:val="003416E7"/>
    <w:rsid w:val="00605D0D"/>
    <w:rsid w:val="006576EB"/>
    <w:rsid w:val="0073414C"/>
    <w:rsid w:val="00884213"/>
    <w:rsid w:val="008D26DB"/>
    <w:rsid w:val="00B81A1B"/>
    <w:rsid w:val="00B95E67"/>
    <w:rsid w:val="00C66BDB"/>
    <w:rsid w:val="00C75EC1"/>
    <w:rsid w:val="00CB0236"/>
    <w:rsid w:val="00F7714A"/>
    <w:rsid w:val="00FB0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2DDA"/>
  <w15:chartTrackingRefBased/>
  <w15:docId w15:val="{394BA060-265B-49C2-84D5-8D86F5B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paragraph" w:styleId="NormalWeb">
    <w:name w:val="Normal (Web)"/>
    <w:basedOn w:val="Normal"/>
    <w:uiPriority w:val="99"/>
    <w:semiHidden/>
    <w:unhideWhenUsed/>
    <w:rsid w:val="003416E7"/>
    <w:pPr>
      <w:spacing w:before="100" w:beforeAutospacing="1" w:after="100" w:afterAutospacing="1"/>
    </w:pPr>
    <w:rPr>
      <w:rFonts w:ascii="Tahoma" w:eastAsia="Times New Roman" w:hAnsi="Tahoma" w:cs="Tahoma"/>
      <w:color w:val="000000"/>
      <w:sz w:val="24"/>
      <w:szCs w:val="24"/>
      <w:lang w:eastAsia="da-DK"/>
    </w:rPr>
  </w:style>
  <w:style w:type="paragraph" w:customStyle="1" w:styleId="bilagtekstliste">
    <w:name w:val="bilagtekstliste"/>
    <w:basedOn w:val="Normal"/>
    <w:rsid w:val="003416E7"/>
    <w:pPr>
      <w:spacing w:before="200"/>
    </w:pPr>
    <w:rPr>
      <w:rFonts w:ascii="Tahoma" w:eastAsia="Times New Roman" w:hAnsi="Tahoma" w:cs="Tahoma"/>
      <w:color w:val="000000"/>
      <w:sz w:val="24"/>
      <w:szCs w:val="24"/>
      <w:lang w:eastAsia="da-DK"/>
    </w:rPr>
  </w:style>
  <w:style w:type="paragraph" w:customStyle="1" w:styleId="bilag">
    <w:name w:val="bilag"/>
    <w:basedOn w:val="Normal"/>
    <w:rsid w:val="003416E7"/>
    <w:pPr>
      <w:spacing w:before="400" w:after="120"/>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3416E7"/>
    <w:pPr>
      <w:spacing w:after="120"/>
      <w:jc w:val="center"/>
    </w:pPr>
    <w:rPr>
      <w:rFonts w:ascii="Tahoma" w:eastAsia="Times New Roman" w:hAnsi="Tahoma" w:cs="Tahoma"/>
      <w:b/>
      <w:bCs/>
      <w:color w:val="000000"/>
      <w:sz w:val="30"/>
      <w:szCs w:val="30"/>
      <w:lang w:eastAsia="da-DK"/>
    </w:rPr>
  </w:style>
  <w:style w:type="paragraph" w:customStyle="1" w:styleId="liste1">
    <w:name w:val="liste1"/>
    <w:basedOn w:val="Normal"/>
    <w:rsid w:val="003416E7"/>
    <w:pPr>
      <w:ind w:left="280"/>
    </w:pPr>
    <w:rPr>
      <w:rFonts w:ascii="Tahoma" w:eastAsia="Times New Roman" w:hAnsi="Tahoma" w:cs="Tahoma"/>
      <w:color w:val="000000"/>
      <w:sz w:val="24"/>
      <w:szCs w:val="24"/>
      <w:lang w:eastAsia="da-DK"/>
    </w:rPr>
  </w:style>
  <w:style w:type="character" w:customStyle="1" w:styleId="superscript1">
    <w:name w:val="superscript1"/>
    <w:basedOn w:val="Standardskrifttypeiafsnit"/>
    <w:rsid w:val="003416E7"/>
    <w:rPr>
      <w:rFonts w:ascii="Tahoma" w:hAnsi="Tahoma" w:cs="Tahoma" w:hint="default"/>
      <w:color w:val="000000"/>
      <w:sz w:val="17"/>
      <w:szCs w:val="17"/>
      <w:shd w:val="clear" w:color="auto" w:fill="auto"/>
      <w:vertAlign w:val="superscript"/>
    </w:rPr>
  </w:style>
  <w:style w:type="character" w:customStyle="1" w:styleId="liste1nr1">
    <w:name w:val="liste1nr1"/>
    <w:basedOn w:val="Standardskrifttypeiafsnit"/>
    <w:rsid w:val="003416E7"/>
    <w:rPr>
      <w:rFonts w:ascii="Tahoma" w:hAnsi="Tahoma" w:cs="Tahoma" w:hint="default"/>
      <w:color w:val="000000"/>
      <w:sz w:val="24"/>
      <w:szCs w:val="24"/>
      <w:shd w:val="clear" w:color="auto" w:fill="auto"/>
    </w:rPr>
  </w:style>
  <w:style w:type="character" w:customStyle="1" w:styleId="italic1">
    <w:name w:val="italic1"/>
    <w:basedOn w:val="Standardskrifttypeiafsnit"/>
    <w:rsid w:val="003416E7"/>
    <w:rPr>
      <w:rFonts w:ascii="Tahoma" w:hAnsi="Tahoma" w:cs="Tahoma" w:hint="default"/>
      <w:i/>
      <w:iCs/>
      <w:color w:val="000000"/>
      <w:sz w:val="24"/>
      <w:szCs w:val="24"/>
      <w:shd w:val="clear" w:color="auto" w:fill="auto"/>
    </w:rPr>
  </w:style>
  <w:style w:type="paragraph" w:styleId="Sidehoved">
    <w:name w:val="header"/>
    <w:basedOn w:val="Normal"/>
    <w:link w:val="SidehovedTegn"/>
    <w:uiPriority w:val="99"/>
    <w:unhideWhenUsed/>
    <w:rsid w:val="00F7714A"/>
    <w:pPr>
      <w:tabs>
        <w:tab w:val="center" w:pos="4819"/>
        <w:tab w:val="right" w:pos="9638"/>
      </w:tabs>
    </w:pPr>
  </w:style>
  <w:style w:type="character" w:customStyle="1" w:styleId="SidehovedTegn">
    <w:name w:val="Sidehoved Tegn"/>
    <w:basedOn w:val="Standardskrifttypeiafsnit"/>
    <w:link w:val="Sidehoved"/>
    <w:uiPriority w:val="99"/>
    <w:rsid w:val="00F7714A"/>
  </w:style>
  <w:style w:type="paragraph" w:styleId="Sidefod">
    <w:name w:val="footer"/>
    <w:basedOn w:val="Normal"/>
    <w:link w:val="SidefodTegn"/>
    <w:uiPriority w:val="99"/>
    <w:unhideWhenUsed/>
    <w:rsid w:val="00F7714A"/>
    <w:pPr>
      <w:tabs>
        <w:tab w:val="center" w:pos="4819"/>
        <w:tab w:val="right" w:pos="9638"/>
      </w:tabs>
    </w:pPr>
  </w:style>
  <w:style w:type="character" w:customStyle="1" w:styleId="SidefodTegn">
    <w:name w:val="Sidefod Tegn"/>
    <w:basedOn w:val="Standardskrifttypeiafsnit"/>
    <w:link w:val="Sidefod"/>
    <w:uiPriority w:val="99"/>
    <w:rsid w:val="00F7714A"/>
  </w:style>
  <w:style w:type="paragraph" w:styleId="Markeringsbobletekst">
    <w:name w:val="Balloon Text"/>
    <w:basedOn w:val="Normal"/>
    <w:link w:val="MarkeringsbobletekstTegn"/>
    <w:uiPriority w:val="99"/>
    <w:semiHidden/>
    <w:unhideWhenUsed/>
    <w:rsid w:val="00F7714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7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86538">
      <w:bodyDiv w:val="1"/>
      <w:marLeft w:val="0"/>
      <w:marRight w:val="0"/>
      <w:marTop w:val="0"/>
      <w:marBottom w:val="0"/>
      <w:divBdr>
        <w:top w:val="none" w:sz="0" w:space="0" w:color="auto"/>
        <w:left w:val="none" w:sz="0" w:space="0" w:color="auto"/>
        <w:bottom w:val="none" w:sz="0" w:space="0" w:color="auto"/>
        <w:right w:val="none" w:sz="0" w:space="0" w:color="auto"/>
      </w:divBdr>
      <w:divsChild>
        <w:div w:id="662047739">
          <w:marLeft w:val="0"/>
          <w:marRight w:val="0"/>
          <w:marTop w:val="0"/>
          <w:marBottom w:val="300"/>
          <w:divBdr>
            <w:top w:val="none" w:sz="0" w:space="0" w:color="auto"/>
            <w:left w:val="none" w:sz="0" w:space="0" w:color="auto"/>
            <w:bottom w:val="none" w:sz="0" w:space="0" w:color="auto"/>
            <w:right w:val="none" w:sz="0" w:space="0" w:color="auto"/>
          </w:divBdr>
          <w:divsChild>
            <w:div w:id="110899885">
              <w:marLeft w:val="0"/>
              <w:marRight w:val="0"/>
              <w:marTop w:val="0"/>
              <w:marBottom w:val="0"/>
              <w:divBdr>
                <w:top w:val="none" w:sz="0" w:space="0" w:color="auto"/>
                <w:left w:val="single" w:sz="6" w:space="1" w:color="FFFFFF"/>
                <w:bottom w:val="none" w:sz="0" w:space="0" w:color="auto"/>
                <w:right w:val="single" w:sz="6" w:space="1" w:color="FFFFFF"/>
              </w:divBdr>
              <w:divsChild>
                <w:div w:id="897934653">
                  <w:marLeft w:val="0"/>
                  <w:marRight w:val="0"/>
                  <w:marTop w:val="0"/>
                  <w:marBottom w:val="0"/>
                  <w:divBdr>
                    <w:top w:val="none" w:sz="0" w:space="0" w:color="auto"/>
                    <w:left w:val="none" w:sz="0" w:space="0" w:color="auto"/>
                    <w:bottom w:val="none" w:sz="0" w:space="0" w:color="auto"/>
                    <w:right w:val="none" w:sz="0" w:space="0" w:color="auto"/>
                  </w:divBdr>
                  <w:divsChild>
                    <w:div w:id="781191166">
                      <w:marLeft w:val="0"/>
                      <w:marRight w:val="0"/>
                      <w:marTop w:val="0"/>
                      <w:marBottom w:val="0"/>
                      <w:divBdr>
                        <w:top w:val="none" w:sz="0" w:space="0" w:color="auto"/>
                        <w:left w:val="none" w:sz="0" w:space="0" w:color="auto"/>
                        <w:bottom w:val="none" w:sz="0" w:space="0" w:color="auto"/>
                        <w:right w:val="none" w:sz="0" w:space="0" w:color="auto"/>
                      </w:divBdr>
                      <w:divsChild>
                        <w:div w:id="812870498">
                          <w:marLeft w:val="0"/>
                          <w:marRight w:val="0"/>
                          <w:marTop w:val="0"/>
                          <w:marBottom w:val="0"/>
                          <w:divBdr>
                            <w:top w:val="none" w:sz="0" w:space="0" w:color="auto"/>
                            <w:left w:val="none" w:sz="0" w:space="0" w:color="auto"/>
                            <w:bottom w:val="none" w:sz="0" w:space="0" w:color="auto"/>
                            <w:right w:val="none" w:sz="0" w:space="0" w:color="auto"/>
                          </w:divBdr>
                          <w:divsChild>
                            <w:div w:id="432018228">
                              <w:marLeft w:val="0"/>
                              <w:marRight w:val="0"/>
                              <w:marTop w:val="0"/>
                              <w:marBottom w:val="0"/>
                              <w:divBdr>
                                <w:top w:val="none" w:sz="0" w:space="0" w:color="auto"/>
                                <w:left w:val="none" w:sz="0" w:space="0" w:color="auto"/>
                                <w:bottom w:val="none" w:sz="0" w:space="0" w:color="auto"/>
                                <w:right w:val="none" w:sz="0" w:space="0" w:color="auto"/>
                              </w:divBdr>
                              <w:divsChild>
                                <w:div w:id="1999646287">
                                  <w:marLeft w:val="0"/>
                                  <w:marRight w:val="0"/>
                                  <w:marTop w:val="0"/>
                                  <w:marBottom w:val="0"/>
                                  <w:divBdr>
                                    <w:top w:val="none" w:sz="0" w:space="0" w:color="auto"/>
                                    <w:left w:val="none" w:sz="0" w:space="0" w:color="auto"/>
                                    <w:bottom w:val="none" w:sz="0" w:space="0" w:color="auto"/>
                                    <w:right w:val="none" w:sz="0" w:space="0" w:color="auto"/>
                                  </w:divBdr>
                                  <w:divsChild>
                                    <w:div w:id="6766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5290-1164-470A-BADF-9043E9F7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Thisted Kommune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Kristine Keiding - Thisted Kommune</dc:creator>
  <cp:keywords/>
  <dc:description/>
  <cp:lastModifiedBy>Anne Kristine Keiding - Thisted Kommune</cp:lastModifiedBy>
  <cp:revision>2</cp:revision>
  <cp:lastPrinted>2018-01-31T07:45:00Z</cp:lastPrinted>
  <dcterms:created xsi:type="dcterms:W3CDTF">2018-01-30T08:38:00Z</dcterms:created>
  <dcterms:modified xsi:type="dcterms:W3CDTF">2018-01-31T07:45:00Z</dcterms:modified>
</cp:coreProperties>
</file>